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00" w:lineRule="exact"/>
        <w:ind w:firstLine="602"/>
        <w:jc w:val="center"/>
        <w:rPr>
          <w:rFonts w:ascii="Times New Roman" w:hAnsi="Times New Roman" w:eastAsia="黑体" w:cs="Times New Roman"/>
          <w:b/>
          <w:bCs/>
          <w:sz w:val="30"/>
          <w:szCs w:val="30"/>
        </w:rPr>
      </w:pPr>
      <w:r>
        <w:rPr>
          <w:rFonts w:ascii="Times New Roman" w:hAnsi="Times New Roman" w:eastAsia="黑体" w:cs="Times New Roman"/>
          <w:b/>
          <w:bCs/>
          <w:sz w:val="30"/>
          <w:szCs w:val="30"/>
        </w:rPr>
        <w:t>2024年山西大学本科教育教学审核评估实践教学</w:t>
      </w:r>
    </w:p>
    <w:p>
      <w:pPr>
        <w:spacing w:before="156" w:beforeLines="50" w:after="156" w:afterLines="50" w:line="500" w:lineRule="exact"/>
        <w:ind w:firstLine="602"/>
        <w:jc w:val="center"/>
        <w:rPr>
          <w:rFonts w:ascii="Times New Roman" w:hAnsi="Times New Roman" w:eastAsia="黑体" w:cs="Times New Roman"/>
          <w:b/>
          <w:bCs/>
          <w:sz w:val="30"/>
          <w:szCs w:val="30"/>
        </w:rPr>
      </w:pPr>
      <w:r>
        <w:rPr>
          <w:rFonts w:ascii="Times New Roman" w:hAnsi="Times New Roman" w:eastAsia="黑体" w:cs="Times New Roman"/>
          <w:b/>
          <w:bCs/>
          <w:sz w:val="30"/>
          <w:szCs w:val="30"/>
        </w:rPr>
        <w:t>相关文档准备及注意事项</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为进一步推进学校本科教育教学审核评估工作进度，规范我校本科实践教学，现对实验教学、实习教学、课程设计及学年论文类材料准备提出指导性意见及注意事项。</w:t>
      </w:r>
    </w:p>
    <w:p>
      <w:pPr>
        <w:numPr>
          <w:ilvl w:val="0"/>
          <w:numId w:val="1"/>
        </w:numPr>
        <w:spacing w:line="360" w:lineRule="auto"/>
        <w:ind w:firstLine="602" w:firstLineChars="200"/>
        <w:rPr>
          <w:rFonts w:ascii="楷体" w:hAnsi="楷体" w:eastAsia="楷体" w:cs="Times New Roman"/>
          <w:b/>
          <w:bCs/>
          <w:sz w:val="30"/>
          <w:szCs w:val="30"/>
        </w:rPr>
      </w:pPr>
      <w:r>
        <w:rPr>
          <w:rFonts w:ascii="楷体" w:hAnsi="楷体" w:eastAsia="楷体" w:cs="Times New Roman"/>
          <w:b/>
          <w:bCs/>
          <w:sz w:val="30"/>
          <w:szCs w:val="30"/>
        </w:rPr>
        <w:t>实验教学相关文档准备要求及审核评估注意事项</w:t>
      </w:r>
    </w:p>
    <w:p>
      <w:pPr>
        <w:numPr>
          <w:ilvl w:val="0"/>
          <w:numId w:val="2"/>
        </w:numPr>
        <w:spacing w:line="360" w:lineRule="auto"/>
        <w:ind w:firstLine="602" w:firstLineChars="200"/>
        <w:rPr>
          <w:rFonts w:ascii="Times New Roman" w:hAnsi="Times New Roman" w:eastAsia="仿宋" w:cs="Times New Roman"/>
          <w:b/>
          <w:bCs/>
          <w:sz w:val="30"/>
          <w:szCs w:val="30"/>
        </w:rPr>
      </w:pPr>
      <w:r>
        <w:rPr>
          <w:rFonts w:hint="eastAsia" w:ascii="Times New Roman" w:hAnsi="Times New Roman" w:eastAsia="仿宋" w:cs="Times New Roman"/>
          <w:b/>
          <w:bCs/>
          <w:sz w:val="30"/>
          <w:szCs w:val="30"/>
          <w:lang w:val="en-US" w:eastAsia="zh-CN"/>
        </w:rPr>
        <w:t>时间范围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仿宋" w:cs="Times New Roman"/>
          <w:b w:val="0"/>
          <w:bCs w:val="0"/>
          <w:sz w:val="30"/>
          <w:szCs w:val="30"/>
          <w:lang w:val="en-US" w:eastAsia="zh-CN"/>
        </w:rPr>
      </w:pPr>
      <w:r>
        <w:rPr>
          <w:rFonts w:hint="eastAsia" w:ascii="Times New Roman" w:hAnsi="Times New Roman" w:eastAsia="仿宋" w:cs="Times New Roman"/>
          <w:b w:val="0"/>
          <w:bCs w:val="0"/>
          <w:sz w:val="30"/>
          <w:szCs w:val="30"/>
          <w:lang w:val="en-US" w:eastAsia="zh-CN"/>
        </w:rPr>
        <w:t>涉及教学层面的时间为2021-2022学年、2022-2023学年、2023-2024学年，涉及实验室（实验中心、实验平台）方面的时间为截止目前。</w:t>
      </w:r>
    </w:p>
    <w:p>
      <w:pPr>
        <w:numPr>
          <w:ilvl w:val="0"/>
          <w:numId w:val="2"/>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山西大学课程档案</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档案封面信息完整、无空缺；</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档案内容包括：教学周历、单科成绩表、试题（A、B卷）、试卷分析报告、标准答案及评分标准、使用教材说明、备注栏填写的其他材料等；</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备注栏可填写档案主体内容之外的补充材料，如优秀实验报告、实验操作记录表、日常考勤表、实验计分表、山西大学实验课程经费支出预算表、计算机类实验课教学计划、实验课程大纲等。</w:t>
      </w:r>
    </w:p>
    <w:p>
      <w:pPr>
        <w:numPr>
          <w:ilvl w:val="0"/>
          <w:numId w:val="2"/>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规范性要求</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课程档案材料中涉及实验室负责人（实验室主任）、教学秘书</w:t>
      </w:r>
      <w:r>
        <w:rPr>
          <w:rFonts w:hint="eastAsia" w:ascii="Times New Roman" w:hAnsi="Times New Roman" w:eastAsia="仿宋" w:cs="Times New Roman"/>
          <w:sz w:val="30"/>
          <w:szCs w:val="30"/>
        </w:rPr>
        <w:t>、</w:t>
      </w:r>
      <w:r>
        <w:rPr>
          <w:rFonts w:ascii="Times New Roman" w:hAnsi="Times New Roman" w:eastAsia="仿宋" w:cs="Times New Roman"/>
          <w:sz w:val="30"/>
          <w:szCs w:val="30"/>
        </w:rPr>
        <w:t>教学院长签字、计分处须签字、计分，涉及单位盖章处须加盖公章；</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课程档案材料中涉及日期填写须符合学年教学计划安排逻辑顺序；</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 xml:space="preserve">实验报告须选择1-2份优秀报告，报告中涉及教师签字、评语、计分的须补充完善； </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考试（考查）形式非试卷情况须补充完整考试（考查）原始记录材料；</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使用教材说明须使用当年最新的权威实验教材或自编实验讲义，须按照“作者.书名[M].版次.出版地：出版社，出版年”规范填写。</w:t>
      </w:r>
    </w:p>
    <w:p>
      <w:pPr>
        <w:numPr>
          <w:ilvl w:val="0"/>
          <w:numId w:val="2"/>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实验教学</w:t>
      </w:r>
      <w:bookmarkStart w:id="0" w:name="_Hlk163743799"/>
      <w:r>
        <w:rPr>
          <w:rFonts w:ascii="Times New Roman" w:hAnsi="Times New Roman" w:eastAsia="仿宋" w:cs="Times New Roman"/>
          <w:b/>
          <w:bCs/>
          <w:sz w:val="30"/>
          <w:szCs w:val="30"/>
        </w:rPr>
        <w:t>审核评估注意事项</w:t>
      </w:r>
      <w:bookmarkEnd w:id="0"/>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所有档案材料须纸质版、电子版各一份，且内容一致，以备专家线上线下检查。</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2024-2025-1学期实验课教学任务安排合理，正方教务系统及实验排课系统均须精准排课，分组合理，以备专家线上线下听课。加强综合性、设计性、研究性实验开出力度</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hint="eastAsia" w:ascii="Times New Roman" w:hAnsi="Times New Roman" w:eastAsia="仿宋" w:cs="Times New Roman"/>
          <w:sz w:val="30"/>
          <w:szCs w:val="30"/>
        </w:rPr>
        <w:t>3</w:t>
      </w:r>
      <w:r>
        <w:rPr>
          <w:rFonts w:ascii="Times New Roman" w:hAnsi="Times New Roman" w:eastAsia="仿宋" w:cs="Times New Roman"/>
          <w:sz w:val="30"/>
          <w:szCs w:val="30"/>
        </w:rPr>
        <w:t>.</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开设课实验室须干净、整洁、符合实验室安全规范，老师、学生上课期间</w:t>
      </w:r>
      <w:r>
        <w:rPr>
          <w:rFonts w:hint="eastAsia" w:ascii="Times New Roman" w:hAnsi="Times New Roman" w:eastAsia="仿宋" w:cs="Times New Roman"/>
          <w:sz w:val="30"/>
          <w:szCs w:val="30"/>
        </w:rPr>
        <w:t>按需</w:t>
      </w:r>
      <w:r>
        <w:rPr>
          <w:rFonts w:ascii="Times New Roman" w:hAnsi="Times New Roman" w:eastAsia="仿宋" w:cs="Times New Roman"/>
          <w:sz w:val="30"/>
          <w:szCs w:val="30"/>
        </w:rPr>
        <w:t>穿戴实验服及相关装备。授课老师教态良好、指导到位，加强师生互动</w:t>
      </w:r>
      <w:r>
        <w:rPr>
          <w:rFonts w:hint="eastAsia" w:ascii="Times New Roman" w:hAnsi="Times New Roman" w:eastAsia="仿宋" w:cs="Times New Roman"/>
          <w:sz w:val="30"/>
          <w:szCs w:val="30"/>
        </w:rPr>
        <w:t>，</w:t>
      </w:r>
      <w:r>
        <w:rPr>
          <w:rFonts w:ascii="Times New Roman" w:hAnsi="Times New Roman" w:eastAsia="仿宋" w:cs="Times New Roman"/>
          <w:sz w:val="30"/>
          <w:szCs w:val="30"/>
        </w:rPr>
        <w:t>规范课堂纪律，争取“一人一位”，做到“人人上手”，避免出现学生</w:t>
      </w:r>
      <w:r>
        <w:rPr>
          <w:rFonts w:hint="eastAsia" w:ascii="Times New Roman" w:hAnsi="Times New Roman" w:eastAsia="仿宋" w:cs="Times New Roman"/>
          <w:sz w:val="30"/>
          <w:szCs w:val="30"/>
        </w:rPr>
        <w:t>扎堆</w:t>
      </w:r>
      <w:r>
        <w:rPr>
          <w:rFonts w:ascii="Times New Roman" w:hAnsi="Times New Roman" w:eastAsia="仿宋" w:cs="Times New Roman"/>
          <w:sz w:val="30"/>
          <w:szCs w:val="30"/>
        </w:rPr>
        <w:t>围观</w:t>
      </w:r>
      <w:r>
        <w:rPr>
          <w:rFonts w:hint="eastAsia" w:ascii="Times New Roman" w:hAnsi="Times New Roman" w:eastAsia="仿宋" w:cs="Times New Roman"/>
          <w:sz w:val="30"/>
          <w:szCs w:val="30"/>
        </w:rPr>
        <w:t>、</w:t>
      </w:r>
      <w:r>
        <w:rPr>
          <w:rFonts w:ascii="Times New Roman" w:hAnsi="Times New Roman" w:eastAsia="仿宋" w:cs="Times New Roman"/>
          <w:sz w:val="30"/>
          <w:szCs w:val="30"/>
        </w:rPr>
        <w:t>无工位现象。</w:t>
      </w:r>
    </w:p>
    <w:p>
      <w:pPr>
        <w:spacing w:line="360" w:lineRule="auto"/>
        <w:ind w:firstLine="600" w:firstLineChars="200"/>
        <w:rPr>
          <w:rFonts w:ascii="Times New Roman" w:hAnsi="Times New Roman" w:eastAsia="仿宋" w:cs="Times New Roman"/>
          <w:sz w:val="30"/>
          <w:szCs w:val="30"/>
        </w:rPr>
      </w:pPr>
      <w:r>
        <w:rPr>
          <w:rFonts w:hint="eastAsia" w:ascii="Times New Roman" w:hAnsi="Times New Roman" w:eastAsia="仿宋" w:cs="Times New Roman"/>
          <w:sz w:val="30"/>
          <w:szCs w:val="30"/>
        </w:rPr>
        <w:t>4</w:t>
      </w:r>
      <w:r>
        <w:rPr>
          <w:rFonts w:ascii="Times New Roman" w:hAnsi="Times New Roman" w:eastAsia="仿宋" w:cs="Times New Roman"/>
          <w:sz w:val="30"/>
          <w:szCs w:val="30"/>
        </w:rPr>
        <w:t>.</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须提前加强上课学生基本校史、校情、授课教师基本情况、实验室基本情况、实验上课感受、教学保障情况、所学专业及就业方面的理解，以备专家访谈。</w:t>
      </w:r>
    </w:p>
    <w:p>
      <w:pPr>
        <w:numPr>
          <w:ilvl w:val="0"/>
          <w:numId w:val="1"/>
        </w:numPr>
        <w:spacing w:line="360" w:lineRule="auto"/>
        <w:ind w:firstLine="602" w:firstLineChars="200"/>
        <w:rPr>
          <w:rFonts w:ascii="楷体" w:hAnsi="楷体" w:eastAsia="楷体" w:cs="Times New Roman"/>
          <w:b/>
          <w:bCs/>
          <w:sz w:val="30"/>
          <w:szCs w:val="30"/>
        </w:rPr>
      </w:pPr>
      <w:r>
        <w:rPr>
          <w:rFonts w:ascii="楷体" w:hAnsi="楷体" w:eastAsia="楷体" w:cs="Times New Roman"/>
          <w:b/>
          <w:bCs/>
          <w:sz w:val="30"/>
          <w:szCs w:val="30"/>
        </w:rPr>
        <w:t>实习相关文档准备要求及审核评估注意事项</w:t>
      </w:r>
    </w:p>
    <w:p>
      <w:pPr>
        <w:numPr>
          <w:ilvl w:val="0"/>
          <w:numId w:val="3"/>
        </w:numPr>
        <w:spacing w:line="360" w:lineRule="auto"/>
        <w:ind w:firstLine="602" w:firstLineChars="200"/>
        <w:rPr>
          <w:rFonts w:ascii="Times New Roman" w:hAnsi="Times New Roman" w:eastAsia="仿宋" w:cs="Times New Roman"/>
          <w:b/>
          <w:bCs/>
          <w:sz w:val="30"/>
          <w:szCs w:val="30"/>
        </w:rPr>
      </w:pPr>
      <w:r>
        <w:rPr>
          <w:rFonts w:hint="eastAsia" w:ascii="Times New Roman" w:hAnsi="Times New Roman" w:eastAsia="仿宋" w:cs="Times New Roman"/>
          <w:b/>
          <w:bCs/>
          <w:sz w:val="30"/>
          <w:szCs w:val="30"/>
          <w:lang w:val="en-US" w:eastAsia="zh-CN"/>
        </w:rPr>
        <w:t>时间范围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仿宋" w:cs="Times New Roman"/>
          <w:b w:val="0"/>
          <w:bCs w:val="0"/>
          <w:sz w:val="30"/>
          <w:szCs w:val="30"/>
          <w:lang w:val="en-US" w:eastAsia="zh-CN"/>
        </w:rPr>
      </w:pPr>
      <w:r>
        <w:rPr>
          <w:rFonts w:hint="eastAsia" w:ascii="Times New Roman" w:hAnsi="Times New Roman" w:eastAsia="仿宋" w:cs="Times New Roman"/>
          <w:b w:val="0"/>
          <w:bCs w:val="0"/>
          <w:sz w:val="30"/>
          <w:szCs w:val="30"/>
          <w:lang w:val="en-US" w:eastAsia="zh-CN"/>
        </w:rPr>
        <w:t>涉及教学层面的时间为2021-2022学年、2022-2023学年、2023-2024学年，涉及实习实训基地、实践平台方面的时间为截止目前。</w:t>
      </w:r>
    </w:p>
    <w:p>
      <w:pPr>
        <w:numPr>
          <w:ilvl w:val="0"/>
          <w:numId w:val="3"/>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本科教学实习档案</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档案封面信息完整、无空缺，实习项目为教务处每学期公布的项目名称，实习类型分为专业实践、课程实习、毕业实习、毕业实训、金工实习、生产实习、参观实习、写生实习、考古实习等；</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档案内容包括：</w:t>
      </w:r>
      <w:r>
        <w:rPr>
          <w:rFonts w:hint="eastAsia" w:ascii="Times New Roman" w:hAnsi="Times New Roman" w:eastAsia="仿宋" w:cs="Times New Roman"/>
          <w:sz w:val="30"/>
          <w:szCs w:val="30"/>
        </w:rPr>
        <w:t>山西</w:t>
      </w:r>
      <w:r>
        <w:rPr>
          <w:rFonts w:ascii="Times New Roman" w:hAnsi="Times New Roman" w:eastAsia="仿宋" w:cs="Times New Roman"/>
          <w:sz w:val="30"/>
          <w:szCs w:val="30"/>
        </w:rPr>
        <w:t>大学本科实习执行计划表、</w:t>
      </w:r>
      <w:r>
        <w:rPr>
          <w:rFonts w:hint="eastAsia" w:ascii="Times New Roman" w:hAnsi="Times New Roman" w:eastAsia="仿宋" w:cs="Times New Roman"/>
          <w:sz w:val="30"/>
          <w:szCs w:val="30"/>
        </w:rPr>
        <w:t>山西</w:t>
      </w:r>
      <w:r>
        <w:rPr>
          <w:rFonts w:ascii="Times New Roman" w:hAnsi="Times New Roman" w:eastAsia="仿宋" w:cs="Times New Roman"/>
          <w:sz w:val="30"/>
          <w:szCs w:val="30"/>
        </w:rPr>
        <w:t>大学本科实习报告、成绩单、山西大学实习情况总结表、实习经费支出明细、其他成果材料（包括：校外实习安全协议、实习成果典型案例、教学周历、实践教学计划表、实践教学项目预算表、实习课程大纲、考勤表等）。</w:t>
      </w:r>
    </w:p>
    <w:p>
      <w:pPr>
        <w:numPr>
          <w:ilvl w:val="0"/>
          <w:numId w:val="3"/>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规范性要求</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实习档案材料中涉及课程负责人、教学秘书</w:t>
      </w:r>
      <w:r>
        <w:rPr>
          <w:rFonts w:hint="eastAsia" w:ascii="Times New Roman" w:hAnsi="Times New Roman" w:eastAsia="仿宋" w:cs="Times New Roman"/>
          <w:sz w:val="30"/>
          <w:szCs w:val="30"/>
        </w:rPr>
        <w:t>、</w:t>
      </w:r>
      <w:r>
        <w:rPr>
          <w:rFonts w:ascii="Times New Roman" w:hAnsi="Times New Roman" w:eastAsia="仿宋" w:cs="Times New Roman"/>
          <w:sz w:val="30"/>
          <w:szCs w:val="30"/>
        </w:rPr>
        <w:t>教学院长签字、计分处须签字、计分，涉及单位盖章处须加盖公章；</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实习档案材料中涉及日期填写须符合学年教学计划安排逻辑顺序；</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实习报告须选择3-5份优秀</w:t>
      </w:r>
      <w:r>
        <w:rPr>
          <w:rFonts w:hint="eastAsia" w:ascii="Times New Roman" w:hAnsi="Times New Roman" w:eastAsia="仿宋" w:cs="Times New Roman"/>
          <w:sz w:val="30"/>
          <w:szCs w:val="30"/>
        </w:rPr>
        <w:t>实习</w:t>
      </w:r>
      <w:r>
        <w:rPr>
          <w:rFonts w:ascii="Times New Roman" w:hAnsi="Times New Roman" w:eastAsia="仿宋" w:cs="Times New Roman"/>
          <w:sz w:val="30"/>
          <w:szCs w:val="30"/>
        </w:rPr>
        <w:t>报告，报告中涉及教师签字、评语、计分的须补充完善；</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考试（考查）形式非提交实习报告的（如实习单位提供的实习鉴定表），须补充完整的原始记录材料；</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如有实习指导书或相关教材须在其他成果材料中补充。</w:t>
      </w:r>
    </w:p>
    <w:p>
      <w:pPr>
        <w:numPr>
          <w:ilvl w:val="0"/>
          <w:numId w:val="3"/>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实习教学审核评估注意事项</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所有档案材料须纸质版、电子版各一份，且内容一致，以备专家线上线下检查需要</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2024-2025-1学期实习教学任务安排合理，正方教务系统及实习排课系统均须精准排课，以备专家线下考查</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2024-2025-1学期开设实习实训课的学院须加强实习实训基地建设（须签订协议书、挂牌并在实习系统登记）</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color w:val="auto"/>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各学院须于2024-2025-1学期开学第一周提交2个能体现学科专业特色的优质实习实训基地名单，并准备</w:t>
      </w:r>
      <w:r>
        <w:rPr>
          <w:rFonts w:ascii="Times New Roman" w:hAnsi="Times New Roman" w:eastAsia="仿宋" w:cs="Times New Roman"/>
          <w:color w:val="auto"/>
          <w:sz w:val="30"/>
          <w:szCs w:val="30"/>
        </w:rPr>
        <w:t>实习基地考察工作方案</w:t>
      </w:r>
      <w:r>
        <w:rPr>
          <w:rFonts w:hint="eastAsia" w:ascii="Times New Roman" w:hAnsi="Times New Roman" w:eastAsia="仿宋" w:cs="Times New Roman"/>
          <w:color w:val="auto"/>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专家将从学校提交的基地名单总随机抽取进行实地考察，各学院须加强上报基地企业方人员、实习学生、指导教师的培训，加强校史、校情、实习基本情况、实习实训感受、教学保障情况、所学专业及就业方面的理解，以备专家访谈需要。</w:t>
      </w:r>
    </w:p>
    <w:p>
      <w:pPr>
        <w:spacing w:line="360" w:lineRule="auto"/>
        <w:ind w:firstLine="602" w:firstLineChars="200"/>
        <w:rPr>
          <w:rFonts w:ascii="楷体" w:hAnsi="楷体" w:eastAsia="楷体" w:cs="Times New Roman"/>
          <w:b/>
          <w:bCs/>
          <w:sz w:val="30"/>
          <w:szCs w:val="30"/>
        </w:rPr>
      </w:pPr>
      <w:r>
        <w:rPr>
          <w:rFonts w:ascii="楷体" w:hAnsi="楷体" w:eastAsia="楷体" w:cs="Times New Roman"/>
          <w:b/>
          <w:bCs/>
          <w:sz w:val="30"/>
          <w:szCs w:val="30"/>
        </w:rPr>
        <w:t>三、课程设计相关文档准备要求及审核评估注意事项</w:t>
      </w:r>
    </w:p>
    <w:p>
      <w:pPr>
        <w:spacing w:line="360" w:lineRule="auto"/>
        <w:ind w:firstLine="602" w:firstLineChars="200"/>
        <w:rPr>
          <w:rFonts w:hint="eastAsia" w:ascii="Times New Roman" w:hAnsi="Times New Roman" w:eastAsia="仿宋" w:cs="Times New Roman"/>
          <w:b/>
          <w:bCs/>
          <w:sz w:val="30"/>
          <w:szCs w:val="30"/>
          <w:lang w:val="en-US" w:eastAsia="zh-CN"/>
        </w:rPr>
      </w:pPr>
      <w:r>
        <w:rPr>
          <w:rFonts w:ascii="Times New Roman" w:hAnsi="Times New Roman" w:eastAsia="仿宋" w:cs="Times New Roman"/>
          <w:b/>
          <w:bCs/>
          <w:sz w:val="30"/>
          <w:szCs w:val="30"/>
        </w:rPr>
        <w:t>（一）</w:t>
      </w:r>
      <w:r>
        <w:rPr>
          <w:rFonts w:hint="eastAsia" w:ascii="Times New Roman" w:hAnsi="Times New Roman" w:eastAsia="仿宋" w:cs="Times New Roman"/>
          <w:b/>
          <w:bCs/>
          <w:sz w:val="30"/>
          <w:szCs w:val="30"/>
          <w:lang w:val="en-US" w:eastAsia="zh-CN"/>
        </w:rPr>
        <w:t>时间范围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仿宋" w:cs="Times New Roman"/>
          <w:b w:val="0"/>
          <w:bCs w:val="0"/>
          <w:sz w:val="30"/>
          <w:szCs w:val="30"/>
          <w:lang w:val="en-US" w:eastAsia="zh-CN"/>
        </w:rPr>
      </w:pPr>
      <w:r>
        <w:rPr>
          <w:rFonts w:hint="eastAsia" w:ascii="Times New Roman" w:hAnsi="Times New Roman" w:eastAsia="仿宋" w:cs="Times New Roman"/>
          <w:b w:val="0"/>
          <w:bCs w:val="0"/>
          <w:sz w:val="30"/>
          <w:szCs w:val="30"/>
          <w:lang w:val="en-US" w:eastAsia="zh-CN"/>
        </w:rPr>
        <w:t>涉及教学层面的时间为2021-2022学年、2022-2023学年、2023-2024学年，涉及实训室、实践平台方面的时间为截止目前。</w:t>
      </w:r>
    </w:p>
    <w:p>
      <w:pPr>
        <w:spacing w:line="360" w:lineRule="auto"/>
        <w:ind w:firstLine="602" w:firstLineChars="200"/>
        <w:rPr>
          <w:rFonts w:ascii="Times New Roman" w:hAnsi="Times New Roman" w:eastAsia="仿宋" w:cs="Times New Roman"/>
          <w:b/>
          <w:bCs/>
          <w:sz w:val="30"/>
          <w:szCs w:val="30"/>
        </w:rPr>
      </w:pPr>
      <w:r>
        <w:rPr>
          <w:rFonts w:hint="eastAsia" w:ascii="Times New Roman" w:hAnsi="Times New Roman" w:eastAsia="仿宋" w:cs="Times New Roman"/>
          <w:b/>
          <w:bCs/>
          <w:sz w:val="30"/>
          <w:szCs w:val="30"/>
          <w:lang w:eastAsia="zh-CN"/>
        </w:rPr>
        <w:t>（</w:t>
      </w:r>
      <w:r>
        <w:rPr>
          <w:rFonts w:hint="eastAsia" w:ascii="Times New Roman" w:hAnsi="Times New Roman" w:eastAsia="仿宋" w:cs="Times New Roman"/>
          <w:b/>
          <w:bCs/>
          <w:sz w:val="30"/>
          <w:szCs w:val="30"/>
          <w:lang w:val="en-US" w:eastAsia="zh-CN"/>
        </w:rPr>
        <w:t>二</w:t>
      </w:r>
      <w:r>
        <w:rPr>
          <w:rFonts w:hint="eastAsia" w:ascii="Times New Roman" w:hAnsi="Times New Roman" w:eastAsia="仿宋" w:cs="Times New Roman"/>
          <w:b/>
          <w:bCs/>
          <w:sz w:val="30"/>
          <w:szCs w:val="30"/>
          <w:lang w:eastAsia="zh-CN"/>
        </w:rPr>
        <w:t>）</w:t>
      </w:r>
      <w:r>
        <w:rPr>
          <w:rFonts w:ascii="Times New Roman" w:hAnsi="Times New Roman" w:eastAsia="仿宋" w:cs="Times New Roman"/>
          <w:b/>
          <w:bCs/>
          <w:sz w:val="30"/>
          <w:szCs w:val="30"/>
        </w:rPr>
        <w:t>课程设计档案</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档案封面信息完整、无空缺；</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档案内容包括：任务书及说明书（计算书）、单科成绩表、参考答案及评分标准、备注栏填写的其他材料；</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备注栏可填写档案主体内容之外的补充材料，如课程设计成果材料、典型案例（设计图纸、音视频光盘）、经费支出明细、教学周历、考勤表、实践教学计划表、实践教学项目预算表、课程大纲等。</w:t>
      </w:r>
    </w:p>
    <w:p>
      <w:p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lang w:val="en-US" w:eastAsia="zh-CN"/>
        </w:rPr>
        <w:t>三</w:t>
      </w:r>
      <w:r>
        <w:rPr>
          <w:rFonts w:ascii="Times New Roman" w:hAnsi="Times New Roman" w:eastAsia="仿宋" w:cs="Times New Roman"/>
          <w:b/>
          <w:bCs/>
          <w:sz w:val="30"/>
          <w:szCs w:val="30"/>
        </w:rPr>
        <w:t>）规范性要求</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课程设计档案材料中涉及课程负责人、教学院长、教学秘书签字、计分处须签字、计分，涉及单位盖章处须加盖公章；</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课程设计档案材料中涉及日期填写须符合学年教学计划安排逻辑顺序；</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课程设计任务书及说明书（计算书）须选择2-3份优秀学生的材料，材料中涉及教师签字、评语、计分的须补充完善；</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考试（考查）形式非提交及说明书（计算书）的（如现场演示设计作品），须补充完整的原始记录材料；</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如有课程设计指导书或相关教材须在另行补充说明。</w:t>
      </w:r>
    </w:p>
    <w:p>
      <w:p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lang w:val="en-US" w:eastAsia="zh-CN"/>
        </w:rPr>
        <w:t>四</w:t>
      </w:r>
      <w:r>
        <w:rPr>
          <w:rFonts w:ascii="Times New Roman" w:hAnsi="Times New Roman" w:eastAsia="仿宋" w:cs="Times New Roman"/>
          <w:b/>
          <w:bCs/>
          <w:sz w:val="30"/>
          <w:szCs w:val="30"/>
        </w:rPr>
        <w:t>）课程设计审核评估注意事项</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所有档案材料须纸质版、电子版各一份，且内容一致，以备专家线上线下检查需要</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2024-2025-1学期课程设计教学任务安排合理，正方教务系统须精准排课，以备专家线上线下考查</w:t>
      </w:r>
      <w:r>
        <w:rPr>
          <w:rFonts w:hint="eastAsia" w:ascii="Times New Roman" w:hAnsi="Times New Roman" w:eastAsia="仿宋" w:cs="Times New Roman"/>
          <w:sz w:val="30"/>
          <w:szCs w:val="30"/>
        </w:rPr>
        <w:t>。</w:t>
      </w:r>
      <w:r>
        <w:rPr>
          <w:rFonts w:ascii="Times New Roman" w:hAnsi="Times New Roman" w:eastAsia="仿宋" w:cs="Times New Roman"/>
          <w:sz w:val="30"/>
          <w:szCs w:val="30"/>
        </w:rPr>
        <w:t>加强创新性、研究性课程设计题目的开出力度</w:t>
      </w:r>
      <w:r>
        <w:rPr>
          <w:rFonts w:hint="eastAsia" w:ascii="Times New Roman" w:hAnsi="Times New Roman" w:eastAsia="仿宋" w:cs="Times New Roman"/>
          <w:sz w:val="30"/>
          <w:szCs w:val="30"/>
        </w:rPr>
        <w:t>。</w:t>
      </w:r>
      <w:r>
        <w:rPr>
          <w:rFonts w:ascii="Times New Roman" w:hAnsi="Times New Roman" w:eastAsia="仿宋" w:cs="Times New Roman"/>
          <w:sz w:val="30"/>
          <w:szCs w:val="30"/>
        </w:rPr>
        <w:t>开设课程设计的实验室、实训室须干净、整洁、符合实验室及实训室安全规范，老师、学生上课期间</w:t>
      </w:r>
      <w:r>
        <w:rPr>
          <w:rFonts w:hint="eastAsia" w:ascii="Times New Roman" w:hAnsi="Times New Roman" w:eastAsia="仿宋" w:cs="Times New Roman"/>
          <w:sz w:val="30"/>
          <w:szCs w:val="30"/>
        </w:rPr>
        <w:t>按需</w:t>
      </w:r>
      <w:r>
        <w:rPr>
          <w:rFonts w:ascii="Times New Roman" w:hAnsi="Times New Roman" w:eastAsia="仿宋" w:cs="Times New Roman"/>
          <w:sz w:val="30"/>
          <w:szCs w:val="30"/>
        </w:rPr>
        <w:t>穿戴实验服及相关装备</w:t>
      </w:r>
      <w:r>
        <w:rPr>
          <w:rFonts w:hint="eastAsia" w:ascii="Times New Roman" w:hAnsi="Times New Roman" w:eastAsia="仿宋" w:cs="Times New Roman"/>
          <w:sz w:val="30"/>
          <w:szCs w:val="30"/>
        </w:rPr>
        <w:t>，</w:t>
      </w:r>
      <w:r>
        <w:rPr>
          <w:rFonts w:ascii="Times New Roman" w:hAnsi="Times New Roman" w:eastAsia="仿宋" w:cs="Times New Roman"/>
          <w:sz w:val="30"/>
          <w:szCs w:val="30"/>
        </w:rPr>
        <w:t>做到“一人一位”、“人人上手”，避免出现学生围观无工位现象</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w:t>
      </w:r>
      <w:r>
        <w:rPr>
          <w:rFonts w:hint="eastAsia" w:ascii="Times New Roman" w:hAnsi="Times New Roman" w:eastAsia="仿宋" w:cs="Times New Roman"/>
          <w:sz w:val="30"/>
          <w:szCs w:val="30"/>
          <w:lang w:val="en-US" w:eastAsia="zh-CN"/>
        </w:rPr>
        <w:t>课程设计</w:t>
      </w:r>
      <w:r>
        <w:rPr>
          <w:rFonts w:ascii="Times New Roman" w:hAnsi="Times New Roman" w:eastAsia="仿宋" w:cs="Times New Roman"/>
          <w:sz w:val="30"/>
          <w:szCs w:val="30"/>
        </w:rPr>
        <w:t>老师授课教态良好、指导到位，加强师生互动的同时规范课堂纪律</w:t>
      </w:r>
      <w:r>
        <w:rPr>
          <w:rFonts w:hint="eastAsia" w:ascii="Times New Roman" w:hAnsi="Times New Roman" w:eastAsia="仿宋" w:cs="Times New Roman"/>
          <w:sz w:val="30"/>
          <w:szCs w:val="30"/>
        </w:rPr>
        <w:t>；</w:t>
      </w:r>
      <w:r>
        <w:rPr>
          <w:rFonts w:ascii="Times New Roman" w:hAnsi="Times New Roman" w:eastAsia="仿宋" w:cs="Times New Roman"/>
          <w:sz w:val="30"/>
          <w:szCs w:val="30"/>
        </w:rPr>
        <w:t xml:space="preserve"> </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5.2024-2025-1学期须提前加强课程设计上课学生基本校史、校情、授课教师基本情况、实验实训室基本情况、上课感受、教学保障情况、所学专业及就业方面的理解，以备专家访谈需要。</w:t>
      </w:r>
    </w:p>
    <w:p>
      <w:pPr>
        <w:spacing w:line="360" w:lineRule="auto"/>
        <w:ind w:firstLine="602" w:firstLineChars="200"/>
        <w:rPr>
          <w:rFonts w:ascii="楷体" w:hAnsi="楷体" w:eastAsia="楷体" w:cs="Times New Roman"/>
          <w:b/>
          <w:bCs/>
          <w:sz w:val="30"/>
          <w:szCs w:val="30"/>
        </w:rPr>
      </w:pPr>
      <w:r>
        <w:rPr>
          <w:rFonts w:ascii="楷体" w:hAnsi="楷体" w:eastAsia="楷体" w:cs="Times New Roman"/>
          <w:b/>
          <w:bCs/>
          <w:sz w:val="30"/>
          <w:szCs w:val="30"/>
        </w:rPr>
        <w:t>四、学年论文相关文档准备要求及审核评估注意事项</w:t>
      </w:r>
    </w:p>
    <w:p>
      <w:pPr>
        <w:spacing w:line="360" w:lineRule="auto"/>
        <w:ind w:firstLine="602" w:firstLineChars="200"/>
        <w:rPr>
          <w:rFonts w:hint="eastAsia" w:ascii="Times New Roman" w:hAnsi="Times New Roman" w:eastAsia="仿宋" w:cs="Times New Roman"/>
          <w:b/>
          <w:bCs/>
          <w:sz w:val="30"/>
          <w:szCs w:val="30"/>
          <w:lang w:val="en-US" w:eastAsia="zh-CN"/>
        </w:rPr>
      </w:pPr>
      <w:r>
        <w:rPr>
          <w:rFonts w:ascii="Times New Roman" w:hAnsi="Times New Roman" w:eastAsia="仿宋" w:cs="Times New Roman"/>
          <w:b/>
          <w:bCs/>
          <w:sz w:val="30"/>
          <w:szCs w:val="30"/>
        </w:rPr>
        <w:t>（一）</w:t>
      </w:r>
      <w:r>
        <w:rPr>
          <w:rFonts w:hint="eastAsia" w:ascii="Times New Roman" w:hAnsi="Times New Roman" w:eastAsia="仿宋" w:cs="Times New Roman"/>
          <w:b/>
          <w:bCs/>
          <w:sz w:val="30"/>
          <w:szCs w:val="30"/>
          <w:lang w:val="en-US" w:eastAsia="zh-CN"/>
        </w:rPr>
        <w:t>时间范围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仿宋" w:cs="Times New Roman"/>
          <w:b w:val="0"/>
          <w:bCs w:val="0"/>
          <w:sz w:val="30"/>
          <w:szCs w:val="30"/>
          <w:lang w:val="en-US" w:eastAsia="zh-CN"/>
        </w:rPr>
      </w:pPr>
      <w:r>
        <w:rPr>
          <w:rFonts w:hint="eastAsia" w:ascii="Times New Roman" w:hAnsi="Times New Roman" w:eastAsia="仿宋" w:cs="Times New Roman"/>
          <w:b w:val="0"/>
          <w:bCs w:val="0"/>
          <w:sz w:val="30"/>
          <w:szCs w:val="30"/>
          <w:lang w:val="en-US" w:eastAsia="zh-CN"/>
        </w:rPr>
        <w:t>涉及教学层面的时间为2021-2022学年、2022-2023学年、2023-2024学年，涉及研讨室、实践平台方面的时间为截止目前。</w:t>
      </w:r>
    </w:p>
    <w:p>
      <w:pPr>
        <w:spacing w:line="360" w:lineRule="auto"/>
        <w:ind w:firstLine="602" w:firstLineChars="200"/>
        <w:rPr>
          <w:rFonts w:ascii="Times New Roman" w:hAnsi="Times New Roman" w:eastAsia="仿宋" w:cs="Times New Roman"/>
          <w:b/>
          <w:bCs/>
          <w:sz w:val="30"/>
          <w:szCs w:val="30"/>
        </w:rPr>
      </w:pPr>
      <w:r>
        <w:rPr>
          <w:rFonts w:hint="eastAsia" w:ascii="Times New Roman" w:hAnsi="Times New Roman" w:eastAsia="仿宋" w:cs="Times New Roman"/>
          <w:b/>
          <w:bCs/>
          <w:sz w:val="30"/>
          <w:szCs w:val="30"/>
          <w:lang w:eastAsia="zh-CN"/>
        </w:rPr>
        <w:t>（</w:t>
      </w:r>
      <w:r>
        <w:rPr>
          <w:rFonts w:hint="eastAsia" w:ascii="Times New Roman" w:hAnsi="Times New Roman" w:eastAsia="仿宋" w:cs="Times New Roman"/>
          <w:b/>
          <w:bCs/>
          <w:sz w:val="30"/>
          <w:szCs w:val="30"/>
          <w:lang w:val="en-US" w:eastAsia="zh-CN"/>
        </w:rPr>
        <w:t>二</w:t>
      </w:r>
      <w:r>
        <w:rPr>
          <w:rFonts w:hint="eastAsia" w:ascii="Times New Roman" w:hAnsi="Times New Roman" w:eastAsia="仿宋" w:cs="Times New Roman"/>
          <w:b/>
          <w:bCs/>
          <w:sz w:val="30"/>
          <w:szCs w:val="30"/>
          <w:lang w:eastAsia="zh-CN"/>
        </w:rPr>
        <w:t>）</w:t>
      </w:r>
      <w:r>
        <w:rPr>
          <w:rFonts w:ascii="Times New Roman" w:hAnsi="Times New Roman" w:eastAsia="仿宋" w:cs="Times New Roman"/>
          <w:b/>
          <w:bCs/>
          <w:sz w:val="30"/>
          <w:szCs w:val="30"/>
        </w:rPr>
        <w:t>学年论文档案</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学年论文封面信息完整、无空缺；</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学年论文成绩评定表；</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学年论文成绩评定标准</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单科成绩单；</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5.</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其他辅助材料。</w:t>
      </w:r>
    </w:p>
    <w:p>
      <w:p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lang w:val="en-US" w:eastAsia="zh-CN"/>
        </w:rPr>
        <w:t>三</w:t>
      </w:r>
      <w:r>
        <w:rPr>
          <w:rFonts w:ascii="Times New Roman" w:hAnsi="Times New Roman" w:eastAsia="仿宋" w:cs="Times New Roman"/>
          <w:b/>
          <w:bCs/>
          <w:sz w:val="30"/>
          <w:szCs w:val="30"/>
        </w:rPr>
        <w:t>）规范性要求</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学年论文档案材料中涉及课程负责人、教学秘书</w:t>
      </w:r>
      <w:r>
        <w:rPr>
          <w:rFonts w:hint="eastAsia" w:ascii="Times New Roman" w:hAnsi="Times New Roman" w:eastAsia="仿宋" w:cs="Times New Roman"/>
          <w:sz w:val="30"/>
          <w:szCs w:val="30"/>
        </w:rPr>
        <w:t>、</w:t>
      </w:r>
      <w:r>
        <w:rPr>
          <w:rFonts w:ascii="Times New Roman" w:hAnsi="Times New Roman" w:eastAsia="仿宋" w:cs="Times New Roman"/>
          <w:sz w:val="30"/>
          <w:szCs w:val="30"/>
        </w:rPr>
        <w:t>教学院长签字、计分处须签字、计分，涉及单位盖章处须加盖公章；</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学年论文成绩评定表中涉及日期填写须符合学年教学计划安排逻辑顺序；</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3.</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如学年论文有参考书目须另行补充说明并归入其他辅助材料</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4.</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学年论文档案中须准备2-3份优秀学生论文。</w:t>
      </w:r>
    </w:p>
    <w:p>
      <w:p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（三）学年论文审核评估注意事项</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1.</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所有档案材料须纸质版、电子版各一份，且内容一致，以备专家线上线下检查需要</w:t>
      </w:r>
      <w:r>
        <w:rPr>
          <w:rFonts w:hint="eastAsia" w:ascii="Times New Roman" w:hAnsi="Times New Roman" w:eastAsia="仿宋" w:cs="Times New Roman"/>
          <w:sz w:val="30"/>
          <w:szCs w:val="30"/>
        </w:rPr>
        <w:t>；</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2.</w:t>
      </w:r>
      <w:r>
        <w:rPr>
          <w:rFonts w:hint="eastAsia" w:ascii="Times New Roman" w:hAnsi="Times New Roman" w:eastAsia="仿宋" w:cs="Times New Roman"/>
          <w:sz w:val="30"/>
          <w:szCs w:val="30"/>
        </w:rPr>
        <w:t xml:space="preserve"> </w:t>
      </w:r>
      <w:r>
        <w:rPr>
          <w:rFonts w:ascii="Times New Roman" w:hAnsi="Times New Roman" w:eastAsia="仿宋" w:cs="Times New Roman"/>
          <w:sz w:val="30"/>
          <w:szCs w:val="30"/>
        </w:rPr>
        <w:t>2024-2025-1学期学年论文教学任务安排合理，正方教务系统须精准排课，任务安排及论文研讨地点要明确，以备专家线上线下考查。加强前沿性、研究性论文题目开出力度，老师指导应教态良好、指导到位，加强师生互动</w:t>
      </w:r>
      <w:r>
        <w:rPr>
          <w:rFonts w:hint="eastAsia" w:ascii="Times New Roman" w:hAnsi="Times New Roman" w:eastAsia="仿宋" w:cs="Times New Roman"/>
          <w:sz w:val="30"/>
          <w:szCs w:val="30"/>
        </w:rPr>
        <w:t>，</w:t>
      </w:r>
      <w:r>
        <w:rPr>
          <w:rFonts w:ascii="Times New Roman" w:hAnsi="Times New Roman" w:eastAsia="仿宋" w:cs="Times New Roman"/>
          <w:sz w:val="30"/>
          <w:szCs w:val="30"/>
        </w:rPr>
        <w:t>规范课堂纪律</w:t>
      </w:r>
      <w:r>
        <w:rPr>
          <w:rFonts w:hint="eastAsia" w:ascii="Times New Roman" w:hAnsi="Times New Roman" w:eastAsia="仿宋" w:cs="Times New Roman"/>
          <w:sz w:val="30"/>
          <w:szCs w:val="30"/>
        </w:rPr>
        <w:t>；</w:t>
      </w:r>
    </w:p>
    <w:p>
      <w:pPr>
        <w:spacing w:line="360" w:lineRule="auto"/>
        <w:ind w:firstLine="602"/>
        <w:rPr>
          <w:rFonts w:ascii="楷体" w:hAnsi="楷体" w:eastAsia="楷体" w:cs="Times New Roman"/>
          <w:b/>
          <w:bCs/>
          <w:sz w:val="30"/>
          <w:szCs w:val="30"/>
        </w:rPr>
      </w:pPr>
      <w:r>
        <w:rPr>
          <w:rFonts w:ascii="楷体" w:hAnsi="楷体" w:eastAsia="楷体" w:cs="Times New Roman"/>
          <w:b/>
          <w:bCs/>
          <w:sz w:val="30"/>
          <w:szCs w:val="30"/>
        </w:rPr>
        <w:t>五、相关表格填报及印证材料准备</w:t>
      </w:r>
    </w:p>
    <w:p>
      <w:pPr>
        <w:numPr>
          <w:ilvl w:val="0"/>
          <w:numId w:val="4"/>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相关表格填报</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各学院须填报《</w:t>
      </w:r>
      <w:r>
        <w:rPr>
          <w:rFonts w:hint="eastAsia" w:ascii="Times New Roman" w:hAnsi="Times New Roman" w:eastAsia="仿宋" w:cs="Times New Roman"/>
          <w:sz w:val="30"/>
          <w:szCs w:val="30"/>
        </w:rPr>
        <w:t>表1-山西大学本科实验教学、实践教学中心情况一览表（截止</w:t>
      </w:r>
      <w:r>
        <w:rPr>
          <w:rFonts w:hint="eastAsia" w:ascii="Times New Roman" w:hAnsi="Times New Roman" w:eastAsia="仿宋" w:cs="Times New Roman"/>
          <w:sz w:val="30"/>
          <w:szCs w:val="30"/>
          <w:lang w:eastAsia="zh-CN"/>
        </w:rPr>
        <w:t>目前</w:t>
      </w:r>
      <w:r>
        <w:rPr>
          <w:rFonts w:hint="eastAsia" w:ascii="Times New Roman" w:hAnsi="Times New Roman" w:eastAsia="仿宋" w:cs="Times New Roman"/>
          <w:sz w:val="30"/>
          <w:szCs w:val="30"/>
        </w:rPr>
        <w:t>）</w:t>
      </w:r>
      <w:r>
        <w:rPr>
          <w:rFonts w:ascii="Times New Roman" w:hAnsi="Times New Roman" w:eastAsia="仿宋" w:cs="Times New Roman"/>
          <w:sz w:val="30"/>
          <w:szCs w:val="30"/>
        </w:rPr>
        <w:t>》、《</w:t>
      </w:r>
      <w:r>
        <w:rPr>
          <w:rFonts w:hint="eastAsia" w:ascii="Times New Roman" w:hAnsi="Times New Roman" w:eastAsia="仿宋" w:cs="Times New Roman"/>
          <w:sz w:val="30"/>
          <w:szCs w:val="30"/>
        </w:rPr>
        <w:t>表2-山西大学本科实习实训基地情况一览表（截止</w:t>
      </w:r>
      <w:r>
        <w:rPr>
          <w:rFonts w:hint="eastAsia" w:ascii="Times New Roman" w:hAnsi="Times New Roman" w:eastAsia="仿宋" w:cs="Times New Roman"/>
          <w:sz w:val="30"/>
          <w:szCs w:val="30"/>
          <w:lang w:eastAsia="zh-CN"/>
        </w:rPr>
        <w:t>目前</w:t>
      </w:r>
      <w:r>
        <w:rPr>
          <w:rFonts w:hint="eastAsia" w:ascii="Times New Roman" w:hAnsi="Times New Roman" w:eastAsia="仿宋" w:cs="Times New Roman"/>
          <w:sz w:val="30"/>
          <w:szCs w:val="30"/>
        </w:rPr>
        <w:t>）</w:t>
      </w:r>
      <w:r>
        <w:rPr>
          <w:rFonts w:ascii="Times New Roman" w:hAnsi="Times New Roman" w:eastAsia="仿宋" w:cs="Times New Roman"/>
          <w:sz w:val="30"/>
          <w:szCs w:val="30"/>
        </w:rPr>
        <w:t>》、《</w:t>
      </w:r>
      <w:r>
        <w:rPr>
          <w:rFonts w:hint="eastAsia" w:ascii="Times New Roman" w:hAnsi="Times New Roman" w:eastAsia="仿宋" w:cs="Times New Roman"/>
          <w:sz w:val="30"/>
          <w:szCs w:val="30"/>
        </w:rPr>
        <w:t>表4-山西大学2022-2024学年与行业企业共建、共同讲授的课程情况一览表</w:t>
      </w:r>
      <w:r>
        <w:rPr>
          <w:rFonts w:ascii="Times New Roman" w:hAnsi="Times New Roman" w:eastAsia="仿宋" w:cs="Times New Roman"/>
          <w:sz w:val="30"/>
          <w:szCs w:val="30"/>
        </w:rPr>
        <w:t>》。</w:t>
      </w:r>
    </w:p>
    <w:p>
      <w:pPr>
        <w:numPr>
          <w:ilvl w:val="0"/>
          <w:numId w:val="4"/>
        </w:num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表格印证材料准备</w:t>
      </w:r>
    </w:p>
    <w:p>
      <w:pPr>
        <w:pStyle w:val="6"/>
        <w:numPr>
          <w:ilvl w:val="0"/>
          <w:numId w:val="5"/>
        </w:numPr>
        <w:spacing w:line="360" w:lineRule="auto"/>
        <w:ind w:firstLineChars="0"/>
        <w:rPr>
          <w:rFonts w:ascii="Times New Roman" w:hAnsi="Times New Roman" w:eastAsia="仿宋" w:cs="Times New Roman"/>
          <w:b/>
          <w:bCs/>
          <w:sz w:val="30"/>
          <w:szCs w:val="30"/>
        </w:rPr>
      </w:pPr>
      <w:r>
        <w:rPr>
          <w:rFonts w:ascii="Times New Roman" w:hAnsi="Times New Roman" w:eastAsia="仿宋" w:cs="Times New Roman"/>
          <w:b/>
          <w:bCs/>
          <w:sz w:val="30"/>
          <w:szCs w:val="30"/>
        </w:rPr>
        <w:t>表1印证材料</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国家级、省部级实验教学、实践教学中心获批文件；</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依托国家级、省部级实验教学、实践教学中心开设的实验课程及实验项目；</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综合性、设计性、研究性实验项目开设情况及所占比例；</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国家级、省部级实验教学、实践教学中心师资及教学科研团队建设情况；</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国家级、省部级实验教学、实践教学中心教师获批的教学改革研究项目、教学成果奖、科研项目、科研获奖情况；</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依托国家级、省部级实验教学、实践教学中心，本科生发表学术论文（不限于第一作者和通讯作者）、获得省级以上学科竞赛奖项、参与获批发明专利（发明、实用、外观）等成果情况。</w:t>
      </w:r>
    </w:p>
    <w:p>
      <w:pPr>
        <w:numPr>
          <w:ilvl w:val="0"/>
          <w:numId w:val="6"/>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其它特色亮点或典型案例。</w:t>
      </w:r>
    </w:p>
    <w:p>
      <w:pPr>
        <w:pStyle w:val="6"/>
        <w:numPr>
          <w:ilvl w:val="0"/>
          <w:numId w:val="5"/>
        </w:numPr>
        <w:spacing w:line="360" w:lineRule="auto"/>
        <w:ind w:firstLineChars="0"/>
        <w:rPr>
          <w:rFonts w:ascii="Times New Roman" w:hAnsi="Times New Roman" w:eastAsia="仿宋" w:cs="Times New Roman"/>
          <w:b/>
          <w:bCs/>
          <w:sz w:val="30"/>
          <w:szCs w:val="30"/>
        </w:rPr>
      </w:pPr>
      <w:r>
        <w:rPr>
          <w:rFonts w:ascii="Times New Roman" w:hAnsi="Times New Roman" w:eastAsia="仿宋" w:cs="Times New Roman"/>
          <w:b/>
          <w:bCs/>
          <w:sz w:val="30"/>
          <w:szCs w:val="30"/>
        </w:rPr>
        <w:t>表2印证材料</w:t>
      </w:r>
    </w:p>
    <w:p>
      <w:pPr>
        <w:numPr>
          <w:ilvl w:val="0"/>
          <w:numId w:val="7"/>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基地简介（1000字左右）；</w:t>
      </w:r>
    </w:p>
    <w:p>
      <w:pPr>
        <w:numPr>
          <w:ilvl w:val="0"/>
          <w:numId w:val="7"/>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实践教学基地协议书（须甲方、乙方签字盖章）、实习安全协议书（须甲方、乙方、丙方签字盖章</w:t>
      </w:r>
      <w:r>
        <w:rPr>
          <w:rFonts w:hint="eastAsia" w:ascii="Times New Roman" w:hAnsi="Times New Roman" w:eastAsia="仿宋" w:cs="Times New Roman"/>
          <w:sz w:val="30"/>
          <w:szCs w:val="30"/>
        </w:rPr>
        <w:t>，以实习实训地为单位，一家单位一份协议备案材料</w:t>
      </w:r>
      <w:r>
        <w:rPr>
          <w:rFonts w:ascii="Times New Roman" w:hAnsi="Times New Roman" w:eastAsia="仿宋" w:cs="Times New Roman"/>
          <w:sz w:val="30"/>
          <w:szCs w:val="30"/>
        </w:rPr>
        <w:t>）；</w:t>
      </w:r>
    </w:p>
    <w:p>
      <w:pPr>
        <w:numPr>
          <w:ilvl w:val="0"/>
          <w:numId w:val="7"/>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依托本科实习实训基地开设的实践课程；</w:t>
      </w:r>
    </w:p>
    <w:p>
      <w:pPr>
        <w:numPr>
          <w:ilvl w:val="0"/>
          <w:numId w:val="7"/>
        </w:num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依托本科实习实训基地，教师或外聘教师获批的教学、科研奖项或产学合作协同育人项目情况；</w:t>
      </w:r>
    </w:p>
    <w:p>
      <w:p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（5）依托本科实习实训基地，本科生发表学术论文（不限于第一作者和通讯作者）、获得省级以上学科竞赛奖项、参与获批发明专利（发明、实用、外观）等成果情况</w:t>
      </w:r>
      <w:r>
        <w:rPr>
          <w:rFonts w:hint="eastAsia" w:ascii="Times New Roman" w:hAnsi="Times New Roman" w:eastAsia="仿宋" w:cs="Times New Roman"/>
          <w:sz w:val="30"/>
          <w:szCs w:val="30"/>
        </w:rPr>
        <w:t>；</w:t>
      </w:r>
    </w:p>
    <w:p>
      <w:pPr>
        <w:spacing w:line="360" w:lineRule="auto"/>
        <w:ind w:firstLine="426" w:firstLineChars="142"/>
        <w:rPr>
          <w:rFonts w:ascii="Times New Roman" w:hAnsi="Times New Roman" w:eastAsia="仿宋" w:cs="Times New Roman"/>
          <w:sz w:val="30"/>
          <w:szCs w:val="30"/>
        </w:rPr>
      </w:pPr>
      <w:r>
        <w:rPr>
          <w:rFonts w:ascii="Times New Roman" w:hAnsi="Times New Roman" w:eastAsia="仿宋" w:cs="Times New Roman"/>
          <w:sz w:val="30"/>
          <w:szCs w:val="30"/>
        </w:rPr>
        <w:t>（6）其他特色亮点或典型案例。</w:t>
      </w:r>
    </w:p>
    <w:p>
      <w:pPr>
        <w:spacing w:line="360" w:lineRule="auto"/>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3.</w:t>
      </w:r>
      <w:r>
        <w:rPr>
          <w:rFonts w:hint="eastAsia" w:ascii="Times New Roman" w:hAnsi="Times New Roman" w:eastAsia="仿宋" w:cs="Times New Roman"/>
          <w:b/>
          <w:bCs/>
          <w:sz w:val="30"/>
          <w:szCs w:val="30"/>
        </w:rPr>
        <w:t xml:space="preserve"> </w:t>
      </w:r>
      <w:r>
        <w:rPr>
          <w:rFonts w:ascii="Times New Roman" w:hAnsi="Times New Roman" w:eastAsia="仿宋" w:cs="Times New Roman"/>
          <w:b/>
          <w:bCs/>
          <w:sz w:val="30"/>
          <w:szCs w:val="30"/>
        </w:rPr>
        <w:t>表</w:t>
      </w:r>
      <w:r>
        <w:rPr>
          <w:rFonts w:hint="eastAsia" w:ascii="Times New Roman" w:hAnsi="Times New Roman" w:eastAsia="仿宋" w:cs="Times New Roman"/>
          <w:b/>
          <w:bCs/>
          <w:sz w:val="30"/>
          <w:szCs w:val="30"/>
        </w:rPr>
        <w:t>4</w:t>
      </w:r>
      <w:r>
        <w:rPr>
          <w:rFonts w:ascii="Times New Roman" w:hAnsi="Times New Roman" w:eastAsia="仿宋" w:cs="Times New Roman"/>
          <w:b/>
          <w:bCs/>
          <w:sz w:val="30"/>
          <w:szCs w:val="30"/>
        </w:rPr>
        <w:t>印证材料</w:t>
      </w:r>
    </w:p>
    <w:p>
      <w:pPr>
        <w:spacing w:line="360" w:lineRule="auto"/>
        <w:ind w:firstLine="282" w:firstLineChars="94"/>
        <w:rPr>
          <w:rFonts w:ascii="Times New Roman" w:hAnsi="Times New Roman" w:eastAsia="仿宋" w:cs="Times New Roman"/>
          <w:sz w:val="30"/>
          <w:szCs w:val="30"/>
        </w:rPr>
      </w:pPr>
      <w:r>
        <w:rPr>
          <w:rFonts w:ascii="Times New Roman" w:hAnsi="Times New Roman" w:eastAsia="仿宋" w:cs="Times New Roman"/>
          <w:sz w:val="30"/>
          <w:szCs w:val="30"/>
        </w:rPr>
        <w:t>（1）与行业企业共建、共同讲授的课程简介；</w:t>
      </w:r>
    </w:p>
    <w:p>
      <w:pPr>
        <w:spacing w:line="360" w:lineRule="auto"/>
        <w:ind w:firstLine="282" w:firstLineChars="94"/>
        <w:rPr>
          <w:rFonts w:ascii="Times New Roman" w:hAnsi="Times New Roman" w:eastAsia="仿宋" w:cs="Times New Roman"/>
          <w:sz w:val="30"/>
          <w:szCs w:val="30"/>
        </w:rPr>
      </w:pPr>
      <w:r>
        <w:rPr>
          <w:rFonts w:ascii="Times New Roman" w:hAnsi="Times New Roman" w:eastAsia="仿宋" w:cs="Times New Roman"/>
          <w:sz w:val="30"/>
          <w:szCs w:val="30"/>
        </w:rPr>
        <w:t>（2）与行业企业共建、共同讲授的课程教学大纲；</w:t>
      </w:r>
    </w:p>
    <w:p>
      <w:pPr>
        <w:spacing w:line="360" w:lineRule="auto"/>
        <w:ind w:firstLine="282" w:firstLineChars="94"/>
        <w:rPr>
          <w:rFonts w:ascii="Times New Roman" w:hAnsi="Times New Roman" w:eastAsia="仿宋" w:cs="Times New Roman"/>
          <w:sz w:val="30"/>
          <w:szCs w:val="30"/>
        </w:rPr>
      </w:pPr>
      <w:r>
        <w:rPr>
          <w:rFonts w:ascii="Times New Roman" w:hAnsi="Times New Roman" w:eastAsia="仿宋" w:cs="Times New Roman"/>
          <w:sz w:val="30"/>
          <w:szCs w:val="30"/>
        </w:rPr>
        <w:t>（3）与行业企业共建、共同讲授的课程讲义、指导书、教材；</w:t>
      </w:r>
    </w:p>
    <w:p>
      <w:pPr>
        <w:spacing w:line="360" w:lineRule="auto"/>
        <w:ind w:firstLine="282" w:firstLineChars="94"/>
        <w:rPr>
          <w:rFonts w:ascii="Times New Roman" w:hAnsi="Times New Roman" w:eastAsia="仿宋" w:cs="Times New Roman"/>
          <w:sz w:val="30"/>
          <w:szCs w:val="30"/>
        </w:rPr>
      </w:pPr>
      <w:r>
        <w:rPr>
          <w:rFonts w:ascii="Times New Roman" w:hAnsi="Times New Roman" w:eastAsia="仿宋" w:cs="Times New Roman"/>
          <w:sz w:val="30"/>
          <w:szCs w:val="30"/>
        </w:rPr>
        <w:t>（4）行业企业授课教师简介及外聘教师备案材料；</w:t>
      </w:r>
    </w:p>
    <w:p>
      <w:pPr>
        <w:spacing w:line="360" w:lineRule="auto"/>
        <w:ind w:firstLine="282" w:firstLineChars="94"/>
        <w:rPr>
          <w:rFonts w:ascii="Times New Roman" w:hAnsi="Times New Roman" w:eastAsia="仿宋" w:cs="Times New Roman"/>
          <w:sz w:val="30"/>
          <w:szCs w:val="30"/>
        </w:rPr>
      </w:pPr>
      <w:r>
        <w:rPr>
          <w:rFonts w:ascii="Times New Roman" w:hAnsi="Times New Roman" w:eastAsia="仿宋" w:cs="Times New Roman"/>
          <w:sz w:val="30"/>
          <w:szCs w:val="30"/>
        </w:rPr>
        <w:t>（5）学生学习共授课程成效。</w:t>
      </w:r>
    </w:p>
    <w:p>
      <w:pPr>
        <w:spacing w:line="360" w:lineRule="auto"/>
        <w:ind w:firstLine="282" w:firstLineChars="94"/>
        <w:rPr>
          <w:rFonts w:ascii="Times New Roman" w:hAnsi="Times New Roman" w:eastAsia="仿宋" w:cs="Times New Roman"/>
          <w:sz w:val="30"/>
          <w:szCs w:val="30"/>
        </w:rPr>
      </w:pPr>
    </w:p>
    <w:p>
      <w:pPr>
        <w:spacing w:line="360" w:lineRule="auto"/>
        <w:rPr>
          <w:rFonts w:ascii="Times New Roman" w:hAnsi="Times New Roman" w:eastAsia="仿宋" w:cs="Times New Roman"/>
          <w:sz w:val="30"/>
          <w:szCs w:val="30"/>
        </w:rPr>
      </w:pPr>
    </w:p>
    <w:p>
      <w:pPr>
        <w:spacing w:line="360" w:lineRule="auto"/>
        <w:rPr>
          <w:rFonts w:ascii="Times New Roman" w:hAnsi="Times New Roman" w:eastAsia="仿宋" w:cs="Times New Roman"/>
          <w:sz w:val="30"/>
          <w:szCs w:val="30"/>
        </w:rPr>
      </w:pPr>
      <w:r>
        <w:rPr>
          <w:rFonts w:ascii="Times New Roman" w:hAnsi="Times New Roman" w:eastAsia="仿宋" w:cs="Times New Roman"/>
          <w:sz w:val="30"/>
          <w:szCs w:val="30"/>
        </w:rPr>
        <w:t xml:space="preserve">                                   山西大学教务处</w:t>
      </w:r>
    </w:p>
    <w:p>
      <w:pPr>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 xml:space="preserve">                               2024年</w:t>
      </w:r>
      <w:r>
        <w:rPr>
          <w:rFonts w:hint="eastAsia" w:ascii="Times New Roman" w:hAnsi="Times New Roman" w:eastAsia="仿宋" w:cs="Times New Roman"/>
          <w:sz w:val="30"/>
          <w:szCs w:val="30"/>
          <w:lang w:val="en-US" w:eastAsia="zh-CN"/>
        </w:rPr>
        <w:t>5</w:t>
      </w:r>
      <w:r>
        <w:rPr>
          <w:rFonts w:ascii="Times New Roman" w:hAnsi="Times New Roman" w:eastAsia="仿宋" w:cs="Times New Roman"/>
          <w:sz w:val="30"/>
          <w:szCs w:val="30"/>
        </w:rPr>
        <w:t>月</w:t>
      </w:r>
      <w:r>
        <w:rPr>
          <w:rFonts w:hint="eastAsia" w:ascii="Times New Roman" w:hAnsi="Times New Roman" w:eastAsia="仿宋" w:cs="Times New Roman"/>
          <w:sz w:val="30"/>
          <w:szCs w:val="30"/>
          <w:lang w:val="en-US" w:eastAsia="zh-CN"/>
        </w:rPr>
        <w:t>7</w:t>
      </w:r>
      <w:bookmarkStart w:id="1" w:name="_GoBack"/>
      <w:bookmarkEnd w:id="1"/>
      <w:r>
        <w:rPr>
          <w:rFonts w:ascii="Times New Roman" w:hAnsi="Times New Roman" w:eastAsia="仿宋" w:cs="Times New Roman"/>
          <w:sz w:val="30"/>
          <w:szCs w:val="3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512B93-3D18-4E5E-9F87-92806030C2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F0E54DE-5D67-43D0-B52E-529BE6D69648}"/>
  </w:font>
  <w:font w:name="仿宋">
    <w:panose1 w:val="02010609060101010101"/>
    <w:charset w:val="86"/>
    <w:family w:val="modern"/>
    <w:pitch w:val="default"/>
    <w:sig w:usb0="800002BF" w:usb1="38CF7CFA" w:usb2="00000016" w:usb3="00000000" w:csb0="00040001" w:csb1="00000000"/>
    <w:embedRegular r:id="rId3" w:fontKey="{CC3E4098-6625-4895-8C00-67FDA15E361C}"/>
  </w:font>
  <w:font w:name="楷体">
    <w:panose1 w:val="02010609060101010101"/>
    <w:charset w:val="86"/>
    <w:family w:val="modern"/>
    <w:pitch w:val="default"/>
    <w:sig w:usb0="800002BF" w:usb1="38CF7CFA" w:usb2="00000016" w:usb3="00000000" w:csb0="00040001" w:csb1="00000000"/>
    <w:embedRegular r:id="rId4" w:fontKey="{375179B5-104A-49BA-ACDE-3F84D873F5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ind w:firstLine="16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ind w:firstLine="16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62005"/>
    <w:multiLevelType w:val="singleLevel"/>
    <w:tmpl w:val="89062005"/>
    <w:lvl w:ilvl="0" w:tentative="0">
      <w:start w:val="1"/>
      <w:numFmt w:val="chineseCounting"/>
      <w:suff w:val="nothing"/>
      <w:lvlText w:val="（%1）"/>
      <w:lvlJc w:val="left"/>
      <w:rPr>
        <w:rFonts w:hint="eastAsia"/>
      </w:rPr>
    </w:lvl>
  </w:abstractNum>
  <w:abstractNum w:abstractNumId="1">
    <w:nsid w:val="D3D75714"/>
    <w:multiLevelType w:val="singleLevel"/>
    <w:tmpl w:val="D3D75714"/>
    <w:lvl w:ilvl="0" w:tentative="0">
      <w:start w:val="1"/>
      <w:numFmt w:val="chineseCounting"/>
      <w:suff w:val="nothing"/>
      <w:lvlText w:val="（%1）"/>
      <w:lvlJc w:val="left"/>
      <w:rPr>
        <w:rFonts w:hint="eastAsia"/>
      </w:rPr>
    </w:lvl>
  </w:abstractNum>
  <w:abstractNum w:abstractNumId="2">
    <w:nsid w:val="E7AD66B5"/>
    <w:multiLevelType w:val="singleLevel"/>
    <w:tmpl w:val="E7AD66B5"/>
    <w:lvl w:ilvl="0" w:tentative="0">
      <w:start w:val="1"/>
      <w:numFmt w:val="decimal"/>
      <w:suff w:val="nothing"/>
      <w:lvlText w:val="（%1）"/>
      <w:lvlJc w:val="left"/>
    </w:lvl>
  </w:abstractNum>
  <w:abstractNum w:abstractNumId="3">
    <w:nsid w:val="E7D67AAD"/>
    <w:multiLevelType w:val="singleLevel"/>
    <w:tmpl w:val="E7D67AAD"/>
    <w:lvl w:ilvl="0" w:tentative="0">
      <w:start w:val="1"/>
      <w:numFmt w:val="decimal"/>
      <w:suff w:val="nothing"/>
      <w:lvlText w:val="（%1）"/>
      <w:lvlJc w:val="left"/>
    </w:lvl>
  </w:abstractNum>
  <w:abstractNum w:abstractNumId="4">
    <w:nsid w:val="3D19043D"/>
    <w:multiLevelType w:val="singleLevel"/>
    <w:tmpl w:val="3D19043D"/>
    <w:lvl w:ilvl="0" w:tentative="0">
      <w:start w:val="1"/>
      <w:numFmt w:val="chineseCounting"/>
      <w:suff w:val="nothing"/>
      <w:lvlText w:val="（%1）"/>
      <w:lvlJc w:val="left"/>
      <w:rPr>
        <w:rFonts w:hint="eastAsia"/>
      </w:rPr>
    </w:lvl>
  </w:abstractNum>
  <w:abstractNum w:abstractNumId="5">
    <w:nsid w:val="4A904611"/>
    <w:multiLevelType w:val="multilevel"/>
    <w:tmpl w:val="4A904611"/>
    <w:lvl w:ilvl="0" w:tentative="0">
      <w:start w:val="1"/>
      <w:numFmt w:val="decimal"/>
      <w:lvlText w:val="%1."/>
      <w:lvlJc w:val="left"/>
      <w:pPr>
        <w:ind w:left="960" w:hanging="360"/>
      </w:pPr>
      <w:rPr>
        <w:rFonts w:hint="default"/>
      </w:rPr>
    </w:lvl>
    <w:lvl w:ilvl="1" w:tentative="0">
      <w:start w:val="1"/>
      <w:numFmt w:val="lowerLetter"/>
      <w:lvlText w:val="%2)"/>
      <w:lvlJc w:val="left"/>
      <w:pPr>
        <w:ind w:left="1480" w:hanging="440"/>
      </w:pPr>
    </w:lvl>
    <w:lvl w:ilvl="2" w:tentative="0">
      <w:start w:val="1"/>
      <w:numFmt w:val="lowerRoman"/>
      <w:lvlText w:val="%3."/>
      <w:lvlJc w:val="right"/>
      <w:pPr>
        <w:ind w:left="1920" w:hanging="440"/>
      </w:pPr>
    </w:lvl>
    <w:lvl w:ilvl="3" w:tentative="0">
      <w:start w:val="1"/>
      <w:numFmt w:val="decimal"/>
      <w:lvlText w:val="%4."/>
      <w:lvlJc w:val="left"/>
      <w:pPr>
        <w:ind w:left="2360" w:hanging="440"/>
      </w:pPr>
    </w:lvl>
    <w:lvl w:ilvl="4" w:tentative="0">
      <w:start w:val="1"/>
      <w:numFmt w:val="lowerLetter"/>
      <w:lvlText w:val="%5)"/>
      <w:lvlJc w:val="left"/>
      <w:pPr>
        <w:ind w:left="2800" w:hanging="440"/>
      </w:pPr>
    </w:lvl>
    <w:lvl w:ilvl="5" w:tentative="0">
      <w:start w:val="1"/>
      <w:numFmt w:val="lowerRoman"/>
      <w:lvlText w:val="%6."/>
      <w:lvlJc w:val="right"/>
      <w:pPr>
        <w:ind w:left="3240" w:hanging="440"/>
      </w:pPr>
    </w:lvl>
    <w:lvl w:ilvl="6" w:tentative="0">
      <w:start w:val="1"/>
      <w:numFmt w:val="decimal"/>
      <w:lvlText w:val="%7."/>
      <w:lvlJc w:val="left"/>
      <w:pPr>
        <w:ind w:left="3680" w:hanging="440"/>
      </w:pPr>
    </w:lvl>
    <w:lvl w:ilvl="7" w:tentative="0">
      <w:start w:val="1"/>
      <w:numFmt w:val="lowerLetter"/>
      <w:lvlText w:val="%8)"/>
      <w:lvlJc w:val="left"/>
      <w:pPr>
        <w:ind w:left="4120" w:hanging="440"/>
      </w:pPr>
    </w:lvl>
    <w:lvl w:ilvl="8" w:tentative="0">
      <w:start w:val="1"/>
      <w:numFmt w:val="lowerRoman"/>
      <w:lvlText w:val="%9."/>
      <w:lvlJc w:val="right"/>
      <w:pPr>
        <w:ind w:left="4560" w:hanging="440"/>
      </w:pPr>
    </w:lvl>
  </w:abstractNum>
  <w:abstractNum w:abstractNumId="6">
    <w:nsid w:val="6C1CB7FB"/>
    <w:multiLevelType w:val="singleLevel"/>
    <w:tmpl w:val="6C1CB7FB"/>
    <w:lvl w:ilvl="0" w:tentative="0">
      <w:start w:val="1"/>
      <w:numFmt w:val="chineseCounting"/>
      <w:suff w:val="nothing"/>
      <w:lvlText w:val="%1、"/>
      <w:lvlJc w:val="left"/>
      <w:rPr>
        <w:rFonts w:hint="eastAsia"/>
      </w:rPr>
    </w:lvl>
  </w:abstractNum>
  <w:num w:numId="1">
    <w:abstractNumId w:val="6"/>
  </w:num>
  <w:num w:numId="2">
    <w:abstractNumId w:val="4"/>
  </w:num>
  <w:num w:numId="3">
    <w:abstractNumId w:val="1"/>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iMjgyZTljNzIxNGZiNTJhYmQ1MWE4ZDc1MGQ2YTcifQ=="/>
  </w:docVars>
  <w:rsids>
    <w:rsidRoot w:val="4D872284"/>
    <w:rsid w:val="00130FC2"/>
    <w:rsid w:val="002864B7"/>
    <w:rsid w:val="00343D63"/>
    <w:rsid w:val="006461E8"/>
    <w:rsid w:val="0065355B"/>
    <w:rsid w:val="007B4785"/>
    <w:rsid w:val="007C1850"/>
    <w:rsid w:val="00830124"/>
    <w:rsid w:val="008F6ADA"/>
    <w:rsid w:val="00A02059"/>
    <w:rsid w:val="00B065DD"/>
    <w:rsid w:val="00B409A4"/>
    <w:rsid w:val="00BD76BD"/>
    <w:rsid w:val="00BE279B"/>
    <w:rsid w:val="00C17792"/>
    <w:rsid w:val="00C46041"/>
    <w:rsid w:val="00D22037"/>
    <w:rsid w:val="00D24C9D"/>
    <w:rsid w:val="00DE4855"/>
    <w:rsid w:val="00E5742C"/>
    <w:rsid w:val="00F50B87"/>
    <w:rsid w:val="00FB16E1"/>
    <w:rsid w:val="04DE1703"/>
    <w:rsid w:val="0BE26780"/>
    <w:rsid w:val="0F543311"/>
    <w:rsid w:val="1197702A"/>
    <w:rsid w:val="12C4341D"/>
    <w:rsid w:val="14C36A04"/>
    <w:rsid w:val="161976FF"/>
    <w:rsid w:val="16351AFD"/>
    <w:rsid w:val="16622EEE"/>
    <w:rsid w:val="25B235F2"/>
    <w:rsid w:val="28AE2CD8"/>
    <w:rsid w:val="293E332D"/>
    <w:rsid w:val="297077DE"/>
    <w:rsid w:val="2CFA1A7F"/>
    <w:rsid w:val="301D2F64"/>
    <w:rsid w:val="304344C6"/>
    <w:rsid w:val="3B05736B"/>
    <w:rsid w:val="3C314DB2"/>
    <w:rsid w:val="3C9A5E5C"/>
    <w:rsid w:val="3D470A38"/>
    <w:rsid w:val="3EED2DE6"/>
    <w:rsid w:val="41843EB3"/>
    <w:rsid w:val="45AB22C8"/>
    <w:rsid w:val="45B60C6C"/>
    <w:rsid w:val="46315F81"/>
    <w:rsid w:val="46DB4BC1"/>
    <w:rsid w:val="47BA074E"/>
    <w:rsid w:val="47FF0A8C"/>
    <w:rsid w:val="48587B22"/>
    <w:rsid w:val="48E351F4"/>
    <w:rsid w:val="49434F6D"/>
    <w:rsid w:val="49E34537"/>
    <w:rsid w:val="4A6B6BF7"/>
    <w:rsid w:val="4D872284"/>
    <w:rsid w:val="4FFC4C0F"/>
    <w:rsid w:val="52310EFE"/>
    <w:rsid w:val="527D4FA3"/>
    <w:rsid w:val="527E3238"/>
    <w:rsid w:val="54E85707"/>
    <w:rsid w:val="56594A6D"/>
    <w:rsid w:val="56BC7397"/>
    <w:rsid w:val="57476052"/>
    <w:rsid w:val="5BDB7A2A"/>
    <w:rsid w:val="5D06569C"/>
    <w:rsid w:val="5D7F25AE"/>
    <w:rsid w:val="604347DE"/>
    <w:rsid w:val="62197ADD"/>
    <w:rsid w:val="63233665"/>
    <w:rsid w:val="66A40C11"/>
    <w:rsid w:val="66FB3677"/>
    <w:rsid w:val="6A0F6C33"/>
    <w:rsid w:val="727950DD"/>
    <w:rsid w:val="7E907B80"/>
    <w:rsid w:val="7F005D52"/>
    <w:rsid w:val="7F78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581</Words>
  <Characters>3313</Characters>
  <Lines>27</Lines>
  <Paragraphs>7</Paragraphs>
  <TotalTime>3</TotalTime>
  <ScaleCrop>false</ScaleCrop>
  <LinksUpToDate>false</LinksUpToDate>
  <CharactersWithSpaces>3887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2024-04-11T01:11:00Z</dcterms:created>
  <dc:creator>大雄</dc:creator>
  <cp:lastModifiedBy>大雄</cp:lastModifiedBy>
  <dcterms:modified xsi:type="dcterms:W3CDTF">2024-05-07T09:34:16Z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1643BBFA116A468F8680F35A6CBC724C_11</vt:lpwstr>
  </property>
</Properties>
</file>